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AF" w:rsidRPr="001424AF" w:rsidRDefault="001424AF" w:rsidP="001424A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587664"/>
      <w:r w:rsidRPr="001424A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1424AF" w:rsidRPr="001424AF" w:rsidRDefault="001424AF" w:rsidP="001424A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 w:rsidRPr="001424AF"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1424AF" w:rsidRPr="001424AF" w:rsidRDefault="001424AF" w:rsidP="001424A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1424AF" w:rsidRPr="001424AF" w:rsidRDefault="001424AF" w:rsidP="00142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4AF" w:rsidRPr="001424AF" w:rsidRDefault="001424AF" w:rsidP="001424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1424AF" w:rsidTr="001424AF">
        <w:trPr>
          <w:trHeight w:val="892"/>
        </w:trPr>
        <w:tc>
          <w:tcPr>
            <w:tcW w:w="4678" w:type="dxa"/>
            <w:hideMark/>
          </w:tcPr>
          <w:p w:rsidR="001424AF" w:rsidRPr="001424AF" w:rsidRDefault="001424AF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1424AF" w:rsidRPr="001424AF" w:rsidRDefault="001424AF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1424AF" w:rsidRP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424A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_______________  Н.В. Мочалова</w:t>
            </w:r>
          </w:p>
          <w:p w:rsidR="001424AF" w:rsidRDefault="001424AF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‌</w:t>
      </w: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pacing w:after="0"/>
        <w:ind w:left="120"/>
      </w:pPr>
    </w:p>
    <w:p w:rsidR="00AF2345" w:rsidRPr="00AF2345" w:rsidRDefault="00AF2345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F2345">
        <w:rPr>
          <w:rFonts w:ascii="Times New Roman" w:hAnsi="Times New Roman"/>
          <w:b/>
          <w:color w:val="000000"/>
          <w:sz w:val="28"/>
        </w:rPr>
        <w:t>АДАПТИРОВАННАЯ РАБОЧАЯ ПРОГРАММА</w:t>
      </w:r>
    </w:p>
    <w:p w:rsidR="00AF2345" w:rsidRPr="00AF2345" w:rsidRDefault="00AF2345" w:rsidP="00AF234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AF2345">
        <w:rPr>
          <w:rFonts w:ascii="Times New Roman" w:hAnsi="Times New Roman"/>
          <w:b/>
          <w:color w:val="000000"/>
          <w:sz w:val="28"/>
        </w:rPr>
        <w:t>для обучающихся с ЗПР (вариант7)</w:t>
      </w:r>
    </w:p>
    <w:p w:rsidR="00DB6E90" w:rsidRPr="00702095" w:rsidRDefault="00AF2345" w:rsidP="00AF2345">
      <w:pPr>
        <w:spacing w:after="0" w:line="408" w:lineRule="auto"/>
        <w:ind w:left="120"/>
        <w:jc w:val="center"/>
      </w:pPr>
      <w:r w:rsidRPr="00AF2345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_GoBack"/>
      <w:bookmarkEnd w:id="1"/>
      <w:r w:rsidR="00702095" w:rsidRPr="00702095">
        <w:rPr>
          <w:rFonts w:ascii="Times New Roman" w:hAnsi="Times New Roman"/>
          <w:color w:val="000000"/>
          <w:sz w:val="28"/>
        </w:rPr>
        <w:t>(</w:t>
      </w:r>
      <w:r w:rsidR="00702095">
        <w:rPr>
          <w:rFonts w:ascii="Times New Roman" w:hAnsi="Times New Roman"/>
          <w:color w:val="000000"/>
          <w:sz w:val="28"/>
        </w:rPr>
        <w:t>ID</w:t>
      </w:r>
      <w:r w:rsidR="00702095" w:rsidRPr="00702095">
        <w:rPr>
          <w:rFonts w:ascii="Times New Roman" w:hAnsi="Times New Roman"/>
          <w:color w:val="000000"/>
          <w:sz w:val="28"/>
        </w:rPr>
        <w:t xml:space="preserve"> 84157)</w:t>
      </w: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DB6E90" w:rsidRPr="00702095" w:rsidRDefault="00702095">
      <w:pPr>
        <w:spacing w:after="0" w:line="408" w:lineRule="auto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DB6E90">
      <w:pPr>
        <w:spacing w:after="0"/>
        <w:ind w:left="120"/>
        <w:jc w:val="center"/>
      </w:pPr>
    </w:p>
    <w:p w:rsidR="00DB6E90" w:rsidRPr="00702095" w:rsidRDefault="00702095">
      <w:pPr>
        <w:spacing w:after="0"/>
        <w:ind w:left="120"/>
        <w:jc w:val="center"/>
      </w:pPr>
      <w:r w:rsidRPr="00702095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  <w:r w:rsidRPr="00702095">
        <w:rPr>
          <w:rFonts w:ascii="Times New Roman" w:hAnsi="Times New Roman"/>
          <w:b/>
          <w:color w:val="000000"/>
          <w:sz w:val="28"/>
        </w:rPr>
        <w:t>г.Вологда</w:t>
      </w:r>
      <w:bookmarkEnd w:id="2"/>
      <w:r w:rsidRPr="0070209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702095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702095">
        <w:rPr>
          <w:rFonts w:ascii="Times New Roman" w:hAnsi="Times New Roman"/>
          <w:b/>
          <w:color w:val="000000"/>
          <w:sz w:val="28"/>
        </w:rPr>
        <w:t>‌</w:t>
      </w:r>
      <w:r w:rsidRPr="00702095">
        <w:rPr>
          <w:rFonts w:ascii="Times New Roman" w:hAnsi="Times New Roman"/>
          <w:color w:val="000000"/>
          <w:sz w:val="28"/>
        </w:rPr>
        <w:t>​</w:t>
      </w:r>
    </w:p>
    <w:p w:rsidR="00DB6E90" w:rsidRPr="00702095" w:rsidRDefault="00DB6E90">
      <w:pPr>
        <w:spacing w:after="0"/>
        <w:ind w:left="120"/>
      </w:pP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4" w:name="block-587665"/>
      <w:bookmarkEnd w:id="0"/>
      <w:r w:rsidRPr="0070209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F2345" w:rsidRPr="00F9299F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AF2345" w:rsidRPr="00F9299F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</w:t>
      </w:r>
      <w:r w:rsidRPr="00AF2345">
        <w:rPr>
          <w:rStyle w:val="normaltextrun"/>
          <w:color w:val="000000"/>
        </w:rPr>
        <w:t xml:space="preserve">следующие </w:t>
      </w:r>
      <w:r w:rsidRPr="00AF2345">
        <w:rPr>
          <w:rStyle w:val="normaltextrun"/>
          <w:b/>
          <w:bCs/>
          <w:color w:val="000000"/>
        </w:rPr>
        <w:t>особенности познавательной сферы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детей с ОВЗ</w:t>
      </w:r>
      <w:r w:rsidRPr="00AF2345">
        <w:rPr>
          <w:rStyle w:val="normaltextrun"/>
          <w:color w:val="000000"/>
        </w:rPr>
        <w:t>: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 xml:space="preserve">При реализации учебной программы общий </w:t>
      </w:r>
      <w:r w:rsidRPr="00AF2345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AF2345">
        <w:rPr>
          <w:rStyle w:val="normaltextrun"/>
          <w:color w:val="000000"/>
        </w:rPr>
        <w:t xml:space="preserve">, </w:t>
      </w:r>
      <w:r w:rsidRPr="00AF2345">
        <w:rPr>
          <w:rStyle w:val="normaltextrun"/>
          <w:b/>
          <w:bCs/>
          <w:color w:val="000000"/>
        </w:rPr>
        <w:t>но имеет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коррекционную направленность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и</w:t>
      </w:r>
      <w:r w:rsidRPr="00AF2345">
        <w:rPr>
          <w:rStyle w:val="normaltextrun"/>
          <w:color w:val="000000"/>
        </w:rPr>
        <w:t xml:space="preserve"> </w:t>
      </w:r>
      <w:r w:rsidRPr="00AF2345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color w:val="000000"/>
        </w:rPr>
      </w:pPr>
      <w:r w:rsidRPr="00AF2345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t>4).Чтобы</w:t>
      </w:r>
      <w:r w:rsidRPr="00AF2345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lastRenderedPageBreak/>
        <w:t>5).Развитию</w:t>
      </w:r>
      <w:r w:rsidRPr="00AF2345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contextualspellingandgrammarerror"/>
          <w:color w:val="000000"/>
        </w:rPr>
        <w:t>7).Учитывается</w:t>
      </w:r>
      <w:r w:rsidRPr="00AF2345">
        <w:rPr>
          <w:rStyle w:val="normaltextrun"/>
          <w:color w:val="000000"/>
        </w:rPr>
        <w:t xml:space="preserve">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AF2345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AF2345">
        <w:rPr>
          <w:rStyle w:val="normaltextrun"/>
          <w:color w:val="000000"/>
        </w:rPr>
        <w:t>: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 xml:space="preserve">- дополнительные наводящие вопросы; 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>- образцы выполнения заданий;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AF2345">
        <w:rPr>
          <w:rStyle w:val="normaltextrun"/>
          <w:color w:val="000000"/>
        </w:rPr>
        <w:t>- поэтапная проверка заданий.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color w:val="000000"/>
        </w:rPr>
      </w:pPr>
      <w:r w:rsidRPr="00AF2345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методами.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AF2345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AF2345">
        <w:rPr>
          <w:rStyle w:val="eop"/>
          <w:color w:val="000000"/>
        </w:rPr>
        <w:t> </w:t>
      </w:r>
    </w:p>
    <w:p w:rsidR="00AF2345" w:rsidRPr="00AF2345" w:rsidRDefault="00AF2345" w:rsidP="00AF23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AF2345">
        <w:rPr>
          <w:rStyle w:val="eop"/>
          <w:color w:val="000000"/>
        </w:rPr>
        <w:t>10)</w:t>
      </w:r>
      <w:r w:rsidRPr="00AF2345">
        <w:t xml:space="preserve"> </w:t>
      </w:r>
      <w:r w:rsidRPr="00AF2345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AF2345" w:rsidRPr="00AF2345" w:rsidRDefault="00AF2345" w:rsidP="00AF2345">
      <w:pPr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11</w:t>
      </w:r>
      <w:r w:rsidRPr="00AF2345">
        <w:rPr>
          <w:rFonts w:ascii="Times New Roman" w:hAnsi="Times New Roman" w:cs="Times New Roman"/>
          <w:b/>
          <w:sz w:val="24"/>
          <w:szCs w:val="24"/>
        </w:rPr>
        <w:t xml:space="preserve">) При организации оценочных процедур </w:t>
      </w:r>
      <w:r w:rsidRPr="00AF2345">
        <w:rPr>
          <w:rFonts w:ascii="Times New Roman" w:hAnsi="Times New Roman" w:cs="Times New Roman"/>
          <w:sz w:val="24"/>
          <w:szCs w:val="24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AF2345">
        <w:rPr>
          <w:rFonts w:ascii="Times New Roman" w:hAnsi="Times New Roman" w:cs="Times New Roman"/>
          <w:sz w:val="24"/>
          <w:szCs w:val="24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2345">
        <w:rPr>
          <w:rFonts w:ascii="Times New Roman" w:hAnsi="Times New Roman" w:cs="Times New Roman"/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AF2345" w:rsidRPr="00AF2345" w:rsidRDefault="00AF2345" w:rsidP="00AF2345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AF2345">
        <w:rPr>
          <w:rStyle w:val="normaltextrun"/>
          <w:rFonts w:ascii="Times New Roman" w:hAnsi="Times New Roman" w:cs="Times New Roman"/>
          <w:sz w:val="24"/>
          <w:szCs w:val="24"/>
        </w:rPr>
        <w:t xml:space="preserve">Для контроля и оценки используются иные </w:t>
      </w:r>
      <w:r w:rsidRPr="00AF2345">
        <w:rPr>
          <w:rStyle w:val="spellingerror"/>
          <w:rFonts w:ascii="Times New Roman" w:hAnsi="Times New Roman" w:cs="Times New Roman"/>
          <w:sz w:val="24"/>
          <w:szCs w:val="24"/>
        </w:rPr>
        <w:t>КИМы</w:t>
      </w:r>
      <w:r w:rsidRPr="00AF2345">
        <w:rPr>
          <w:rStyle w:val="normaltextrun"/>
          <w:rFonts w:ascii="Times New Roman" w:hAnsi="Times New Roman" w:cs="Times New Roman"/>
          <w:sz w:val="24"/>
          <w:szCs w:val="24"/>
        </w:rPr>
        <w:t>, результаты труда ребенка не оцениваются в сравнении с другими учащимися</w:t>
      </w:r>
      <w:r w:rsidRPr="00AF2345">
        <w:rPr>
          <w:rStyle w:val="normaltextrun"/>
          <w:rFonts w:ascii="Times New Roman" w:hAnsi="Times New Roman" w:cs="Times New Roman"/>
        </w:rPr>
        <w:t>. </w:t>
      </w:r>
      <w:r w:rsidRPr="00AF2345">
        <w:rPr>
          <w:rStyle w:val="eop"/>
          <w:rFonts w:ascii="Times New Roman" w:hAnsi="Times New Roman" w:cs="Times New Roman"/>
        </w:rPr>
        <w:t> </w:t>
      </w:r>
    </w:p>
    <w:p w:rsidR="00AF2345" w:rsidRDefault="00AF2345" w:rsidP="00AF2345">
      <w:pPr>
        <w:jc w:val="center"/>
        <w:rPr>
          <w:b/>
          <w:sz w:val="26"/>
          <w:szCs w:val="26"/>
          <w:u w:val="single"/>
        </w:rPr>
      </w:pP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</w:t>
      </w:r>
      <w:r w:rsidRPr="00702095">
        <w:rPr>
          <w:rFonts w:ascii="Times New Roman" w:hAnsi="Times New Roman"/>
          <w:color w:val="000000"/>
          <w:sz w:val="28"/>
        </w:rPr>
        <w:lastRenderedPageBreak/>
        <w:t>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B6E90" w:rsidRPr="00702095" w:rsidRDefault="00702095">
      <w:pPr>
        <w:numPr>
          <w:ilvl w:val="0"/>
          <w:numId w:val="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5" w:name="block-587666"/>
      <w:bookmarkEnd w:id="4"/>
      <w:r w:rsidRPr="0070209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1424AF">
        <w:rPr>
          <w:rFonts w:ascii="Times New Roman" w:hAnsi="Times New Roman"/>
          <w:color w:val="000000"/>
          <w:sz w:val="28"/>
        </w:rPr>
        <w:t>Историческая карта.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МИР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Восток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Египет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1424AF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1424AF"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702095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Древняя Индия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1424AF"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702095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Китай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1424AF">
        <w:rPr>
          <w:rFonts w:ascii="Times New Roman" w:hAnsi="Times New Roman"/>
          <w:b/>
          <w:color w:val="000000"/>
          <w:sz w:val="28"/>
        </w:rPr>
        <w:t>Эллинизм</w:t>
      </w:r>
      <w:r w:rsidRPr="001424AF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1424AF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1424AF"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702095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Древний Рим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1424AF"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702095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 w:rsidRPr="001424AF">
        <w:rPr>
          <w:rFonts w:ascii="Times New Roman" w:hAnsi="Times New Roman"/>
          <w:color w:val="000000"/>
          <w:sz w:val="28"/>
        </w:rPr>
        <w:t xml:space="preserve">Верования древних римлян. </w:t>
      </w:r>
      <w:r>
        <w:rPr>
          <w:rFonts w:ascii="Times New Roman" w:hAnsi="Times New Roman"/>
          <w:color w:val="000000"/>
          <w:sz w:val="28"/>
        </w:rPr>
        <w:t>Боги. Жрецы. Завоевание Римом Италии.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 w:rsidRPr="001424AF">
        <w:rPr>
          <w:rFonts w:ascii="Times New Roman" w:hAnsi="Times New Roman"/>
          <w:color w:val="000000"/>
          <w:sz w:val="28"/>
        </w:rPr>
        <w:t xml:space="preserve">Установление господства Рима в Средиземноморье. </w:t>
      </w:r>
      <w:r>
        <w:rPr>
          <w:rFonts w:ascii="Times New Roman" w:hAnsi="Times New Roman"/>
          <w:color w:val="000000"/>
          <w:sz w:val="28"/>
        </w:rPr>
        <w:t>Римские провинции.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1424AF"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702095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1424AF"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702095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702095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702095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DB6E90" w:rsidRPr="001424AF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02095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 w:rsidRPr="001424AF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1424AF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702095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1424AF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702095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02095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702095">
        <w:rPr>
          <w:rFonts w:ascii="Times New Roman" w:hAnsi="Times New Roman"/>
          <w:color w:val="000000"/>
          <w:sz w:val="28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702095">
        <w:rPr>
          <w:rFonts w:ascii="Times New Roman" w:hAnsi="Times New Roman"/>
          <w:color w:val="000000"/>
          <w:sz w:val="28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Испания</w:t>
      </w:r>
      <w:r w:rsidRPr="00702095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Франция:</w:t>
      </w:r>
      <w:r w:rsidRPr="00702095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02095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Англия.</w:t>
      </w:r>
      <w:r w:rsidRPr="00702095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02095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702095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Османская империя:</w:t>
      </w:r>
      <w:r w:rsidRPr="00702095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02095">
        <w:rPr>
          <w:rFonts w:ascii="Times New Roman" w:hAnsi="Times New Roman"/>
          <w:b/>
          <w:color w:val="000000"/>
          <w:sz w:val="28"/>
        </w:rPr>
        <w:t>Индия</w:t>
      </w:r>
      <w:r w:rsidRPr="00702095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702095">
        <w:rPr>
          <w:rFonts w:ascii="Times New Roman" w:hAnsi="Times New Roman"/>
          <w:b/>
          <w:color w:val="000000"/>
          <w:sz w:val="28"/>
        </w:rPr>
        <w:t>Китай</w:t>
      </w:r>
      <w:r w:rsidRPr="00702095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02095">
        <w:rPr>
          <w:rFonts w:ascii="Times New Roman" w:hAnsi="Times New Roman"/>
          <w:b/>
          <w:color w:val="000000"/>
          <w:sz w:val="28"/>
        </w:rPr>
        <w:t>Япония:</w:t>
      </w:r>
      <w:r w:rsidRPr="00702095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702095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702095">
        <w:rPr>
          <w:rFonts w:ascii="Times New Roman" w:hAnsi="Times New Roman"/>
          <w:color w:val="000000"/>
          <w:sz w:val="28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Смута в России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Накануне Смуты.</w:t>
      </w:r>
      <w:r w:rsidRPr="00702095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Окончание Смуты.</w:t>
      </w:r>
      <w:r w:rsidRPr="00702095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702095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702095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02095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702095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02095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8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Век Просвещения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</w:t>
      </w:r>
      <w:r w:rsidRPr="00702095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702095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702095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702095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702095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702095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702095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при Елизавете Петровне.</w:t>
      </w:r>
      <w:r w:rsidRPr="00702095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702095">
        <w:rPr>
          <w:rFonts w:ascii="Times New Roman" w:hAnsi="Times New Roman"/>
          <w:color w:val="000000"/>
          <w:sz w:val="28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b/>
          <w:color w:val="000000"/>
          <w:sz w:val="28"/>
        </w:rPr>
        <w:t>.</w:t>
      </w:r>
      <w:r w:rsidRPr="00702095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702095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702095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 xml:space="preserve">. </w:t>
      </w:r>
      <w:r w:rsidRPr="00702095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</w:t>
      </w:r>
      <w:r w:rsidRPr="00702095">
        <w:rPr>
          <w:rFonts w:ascii="Times New Roman" w:hAnsi="Times New Roman"/>
          <w:color w:val="000000"/>
          <w:sz w:val="28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Введение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702095">
        <w:rPr>
          <w:rFonts w:ascii="Times New Roman" w:hAnsi="Times New Roman"/>
          <w:color w:val="000000"/>
          <w:sz w:val="28"/>
        </w:rPr>
        <w:t xml:space="preserve">, </w:t>
      </w:r>
      <w:r w:rsidRPr="00702095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702095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Франция.</w:t>
      </w:r>
      <w:r w:rsidRPr="00702095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Италия.</w:t>
      </w:r>
      <w:r w:rsidRPr="00702095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Германия.</w:t>
      </w:r>
      <w:r w:rsidRPr="00702095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  <w:r w:rsidRPr="00702095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702095">
        <w:rPr>
          <w:rFonts w:ascii="Times New Roman" w:hAnsi="Times New Roman"/>
          <w:color w:val="000000"/>
          <w:sz w:val="28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702095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Япония.</w:t>
      </w:r>
      <w:r w:rsidRPr="00702095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Китай.</w:t>
      </w:r>
      <w:r w:rsidRPr="00702095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702095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Индия.</w:t>
      </w:r>
      <w:r w:rsidRPr="00702095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02095">
        <w:rPr>
          <w:rFonts w:ascii="Times New Roman" w:hAnsi="Times New Roman"/>
          <w:b/>
          <w:color w:val="000000"/>
          <w:sz w:val="28"/>
        </w:rPr>
        <w:t>Х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Обобщение (1 ч).</w:t>
      </w:r>
      <w:r w:rsidRPr="00702095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lastRenderedPageBreak/>
        <w:t>Николаевское самодержавие: государственный консерватизм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02095">
        <w:rPr>
          <w:rFonts w:ascii="Times New Roman" w:hAnsi="Times New Roman"/>
          <w:b/>
          <w:color w:val="000000"/>
          <w:sz w:val="28"/>
        </w:rPr>
        <w:t xml:space="preserve">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702095">
        <w:rPr>
          <w:rFonts w:ascii="Times New Roman" w:hAnsi="Times New Roman"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02095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02095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Введение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Февральская и Октябрьская революции 1917 г. (3 ч)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02095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02095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702095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702095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702095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Pr="00702095" w:rsidRDefault="00702095">
      <w:pPr>
        <w:spacing w:after="0" w:line="264" w:lineRule="auto"/>
        <w:ind w:left="120"/>
        <w:jc w:val="both"/>
      </w:pPr>
      <w:bookmarkStart w:id="6" w:name="block-587667"/>
      <w:bookmarkEnd w:id="5"/>
      <w:r w:rsidRPr="00702095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К важнейшим </w:t>
      </w:r>
      <w:r w:rsidRPr="00702095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02095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B6E90" w:rsidRPr="00702095" w:rsidRDefault="00702095">
      <w:pPr>
        <w:spacing w:after="0" w:line="264" w:lineRule="auto"/>
        <w:ind w:firstLine="600"/>
        <w:jc w:val="both"/>
      </w:pPr>
      <w:r w:rsidRPr="00702095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5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B6E90" w:rsidRPr="00702095" w:rsidRDefault="00702095">
      <w:pPr>
        <w:numPr>
          <w:ilvl w:val="0"/>
          <w:numId w:val="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B6E90" w:rsidRPr="00702095" w:rsidRDefault="00702095">
      <w:pPr>
        <w:numPr>
          <w:ilvl w:val="0"/>
          <w:numId w:val="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6E90" w:rsidRPr="00702095" w:rsidRDefault="00702095">
      <w:pPr>
        <w:numPr>
          <w:ilvl w:val="0"/>
          <w:numId w:val="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B6E90" w:rsidRPr="00702095" w:rsidRDefault="00702095">
      <w:pPr>
        <w:numPr>
          <w:ilvl w:val="0"/>
          <w:numId w:val="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B6E90" w:rsidRPr="00702095" w:rsidRDefault="00702095">
      <w:pPr>
        <w:numPr>
          <w:ilvl w:val="0"/>
          <w:numId w:val="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6E90" w:rsidRPr="00702095" w:rsidRDefault="00702095">
      <w:pPr>
        <w:numPr>
          <w:ilvl w:val="0"/>
          <w:numId w:val="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B6E90" w:rsidRPr="00702095" w:rsidRDefault="00702095">
      <w:pPr>
        <w:numPr>
          <w:ilvl w:val="0"/>
          <w:numId w:val="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6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6E90" w:rsidRPr="00702095" w:rsidRDefault="00702095">
      <w:pPr>
        <w:numPr>
          <w:ilvl w:val="0"/>
          <w:numId w:val="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B6E90" w:rsidRPr="00702095" w:rsidRDefault="00702095">
      <w:pPr>
        <w:numPr>
          <w:ilvl w:val="0"/>
          <w:numId w:val="1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6E90" w:rsidRPr="00702095" w:rsidRDefault="00702095">
      <w:pPr>
        <w:numPr>
          <w:ilvl w:val="0"/>
          <w:numId w:val="1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DB6E90" w:rsidRPr="00702095" w:rsidRDefault="00702095">
      <w:pPr>
        <w:numPr>
          <w:ilvl w:val="0"/>
          <w:numId w:val="1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B6E90" w:rsidRPr="00702095" w:rsidRDefault="00702095">
      <w:pPr>
        <w:numPr>
          <w:ilvl w:val="0"/>
          <w:numId w:val="1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1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B6E90" w:rsidRPr="00702095" w:rsidRDefault="00702095">
      <w:pPr>
        <w:numPr>
          <w:ilvl w:val="0"/>
          <w:numId w:val="1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6E90" w:rsidRPr="00702095" w:rsidRDefault="00702095">
      <w:pPr>
        <w:numPr>
          <w:ilvl w:val="0"/>
          <w:numId w:val="1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7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DB6E90" w:rsidRPr="00702095" w:rsidRDefault="00702095">
      <w:pPr>
        <w:numPr>
          <w:ilvl w:val="0"/>
          <w:numId w:val="1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:rsidR="00DB6E90" w:rsidRPr="00702095" w:rsidRDefault="00702095">
      <w:pPr>
        <w:numPr>
          <w:ilvl w:val="0"/>
          <w:numId w:val="1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</w:t>
      </w:r>
    </w:p>
    <w:p w:rsidR="00DB6E90" w:rsidRPr="00702095" w:rsidRDefault="00702095">
      <w:pPr>
        <w:numPr>
          <w:ilvl w:val="0"/>
          <w:numId w:val="1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DB6E90" w:rsidRPr="00702095" w:rsidRDefault="00702095">
      <w:pPr>
        <w:numPr>
          <w:ilvl w:val="0"/>
          <w:numId w:val="2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DB6E90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DB6E90" w:rsidRPr="00702095" w:rsidRDefault="00702095">
      <w:pPr>
        <w:numPr>
          <w:ilvl w:val="0"/>
          <w:numId w:val="2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B6E90" w:rsidRPr="00702095" w:rsidRDefault="00702095">
      <w:pPr>
        <w:numPr>
          <w:ilvl w:val="0"/>
          <w:numId w:val="2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B6E90" w:rsidRPr="00702095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DB6E90" w:rsidRDefault="00702095">
      <w:pPr>
        <w:numPr>
          <w:ilvl w:val="0"/>
          <w:numId w:val="2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02095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B6E90" w:rsidRDefault="00DB6E90">
      <w:pPr>
        <w:spacing w:after="0" w:line="264" w:lineRule="auto"/>
        <w:ind w:left="120"/>
        <w:jc w:val="both"/>
      </w:pP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B6E90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DB6E90" w:rsidRPr="00702095" w:rsidRDefault="00702095">
      <w:pPr>
        <w:numPr>
          <w:ilvl w:val="0"/>
          <w:numId w:val="2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2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2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DB6E90" w:rsidRPr="00702095" w:rsidRDefault="00702095">
      <w:pPr>
        <w:numPr>
          <w:ilvl w:val="0"/>
          <w:numId w:val="2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2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6E90" w:rsidRPr="00702095" w:rsidRDefault="00702095">
      <w:pPr>
        <w:numPr>
          <w:ilvl w:val="0"/>
          <w:numId w:val="29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DB6E90" w:rsidRPr="00702095" w:rsidRDefault="00702095">
      <w:pPr>
        <w:numPr>
          <w:ilvl w:val="0"/>
          <w:numId w:val="30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b/>
          <w:color w:val="000000"/>
          <w:sz w:val="28"/>
        </w:rPr>
        <w:t>9 КЛАСС</w:t>
      </w:r>
    </w:p>
    <w:p w:rsidR="00DB6E90" w:rsidRPr="00702095" w:rsidRDefault="00DB6E90">
      <w:pPr>
        <w:spacing w:after="0" w:line="264" w:lineRule="auto"/>
        <w:ind w:left="120"/>
        <w:jc w:val="both"/>
      </w:pP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1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B6E90" w:rsidRDefault="007020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B6E90" w:rsidRPr="00702095" w:rsidRDefault="00702095">
      <w:pPr>
        <w:numPr>
          <w:ilvl w:val="0"/>
          <w:numId w:val="32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</w:t>
      </w:r>
    </w:p>
    <w:p w:rsidR="00DB6E90" w:rsidRPr="00702095" w:rsidRDefault="00702095">
      <w:pPr>
        <w:numPr>
          <w:ilvl w:val="0"/>
          <w:numId w:val="33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DB6E90" w:rsidRPr="00702095" w:rsidRDefault="00702095">
      <w:pPr>
        <w:numPr>
          <w:ilvl w:val="0"/>
          <w:numId w:val="34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DB6E90" w:rsidRPr="00702095" w:rsidRDefault="00702095">
      <w:pPr>
        <w:numPr>
          <w:ilvl w:val="0"/>
          <w:numId w:val="35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B6E90" w:rsidRPr="00702095" w:rsidRDefault="00702095">
      <w:pPr>
        <w:numPr>
          <w:ilvl w:val="0"/>
          <w:numId w:val="36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02095">
        <w:rPr>
          <w:rFonts w:ascii="Times New Roman" w:hAnsi="Times New Roman"/>
          <w:color w:val="000000"/>
          <w:sz w:val="28"/>
        </w:rPr>
        <w:t xml:space="preserve"> в.</w:t>
      </w:r>
    </w:p>
    <w:p w:rsidR="00DB6E90" w:rsidRPr="00702095" w:rsidRDefault="00702095">
      <w:pPr>
        <w:spacing w:after="0" w:line="264" w:lineRule="auto"/>
        <w:ind w:left="120"/>
        <w:jc w:val="both"/>
      </w:pPr>
      <w:r w:rsidRPr="00702095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B6E90" w:rsidRPr="00702095" w:rsidRDefault="00702095">
      <w:pPr>
        <w:numPr>
          <w:ilvl w:val="0"/>
          <w:numId w:val="37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B6E90" w:rsidRDefault="007020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B6E90" w:rsidRPr="00702095" w:rsidRDefault="00702095">
      <w:pPr>
        <w:numPr>
          <w:ilvl w:val="0"/>
          <w:numId w:val="38"/>
        </w:numPr>
        <w:spacing w:after="0" w:line="264" w:lineRule="auto"/>
        <w:jc w:val="both"/>
      </w:pPr>
      <w:r w:rsidRPr="00702095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02095">
        <w:rPr>
          <w:rFonts w:ascii="Times New Roman" w:hAnsi="Times New Roman"/>
          <w:color w:val="000000"/>
          <w:sz w:val="28"/>
        </w:rPr>
        <w:t xml:space="preserve"> вв.</w:t>
      </w:r>
    </w:p>
    <w:p w:rsidR="00DB6E90" w:rsidRPr="00702095" w:rsidRDefault="00DB6E90">
      <w:pPr>
        <w:sectPr w:rsidR="00DB6E90" w:rsidRPr="00702095">
          <w:pgSz w:w="11906" w:h="16383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7" w:name="block-587668"/>
      <w:bookmarkEnd w:id="6"/>
      <w:r w:rsidRPr="0070209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3334"/>
        <w:gridCol w:w="976"/>
        <w:gridCol w:w="1276"/>
        <w:gridCol w:w="1134"/>
        <w:gridCol w:w="2835"/>
        <w:gridCol w:w="3592"/>
      </w:tblGrid>
      <w:tr w:rsidR="00702095" w:rsidRPr="001424AF" w:rsidTr="00702095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</w:tcPr>
          <w:p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702095" w:rsidRPr="00702095" w:rsidRDefault="00702095" w:rsidP="0070209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702095" w:rsidRPr="00702095" w:rsidRDefault="00702095" w:rsidP="00702095">
            <w:pPr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702095" w:rsidRPr="00702095" w:rsidTr="00702095">
        <w:trPr>
          <w:trHeight w:val="144"/>
          <w:tblCellSpacing w:w="20" w:type="nil"/>
        </w:trPr>
        <w:tc>
          <w:tcPr>
            <w:tcW w:w="8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Pr="00702095" w:rsidRDefault="00702095"/>
        </w:tc>
        <w:tc>
          <w:tcPr>
            <w:tcW w:w="3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Pr="00702095" w:rsidRDefault="00702095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095" w:rsidRDefault="00702095">
            <w:pPr>
              <w:spacing w:after="0"/>
              <w:ind w:left="135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095" w:rsidRDefault="00702095"/>
        </w:tc>
        <w:tc>
          <w:tcPr>
            <w:tcW w:w="3592" w:type="dxa"/>
            <w:vMerge/>
          </w:tcPr>
          <w:p w:rsidR="00702095" w:rsidRPr="00702095" w:rsidRDefault="00702095"/>
        </w:tc>
      </w:tr>
      <w:tr w:rsidR="00702095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02095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  <w:tc>
          <w:tcPr>
            <w:tcW w:w="3592" w:type="dxa"/>
          </w:tcPr>
          <w:p w:rsidR="00702095" w:rsidRDefault="0070209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 w:val="restart"/>
          </w:tcPr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видах идентичности, актуальных для становления человечества и общества, для жизни в современном поликультурном мире;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-Приобщение к истокам культурно-исторического наследия человечества, интерес к его познанию за рамками учебного курса и школьного обучения;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>-Опыт эмоциональноценностного и творческого отношения к фактам прошлого и историческим источникам, способам изучения</w:t>
            </w: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702095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3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3592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</w:p>
        </w:tc>
        <w:tc>
          <w:tcPr>
            <w:tcW w:w="3592" w:type="dxa"/>
            <w:vMerge/>
          </w:tcPr>
          <w:p w:rsidR="003B31A1" w:rsidRDefault="003B31A1">
            <w:pPr>
              <w:spacing w:after="0"/>
              <w:ind w:left="135"/>
            </w:pPr>
          </w:p>
        </w:tc>
      </w:tr>
      <w:tr w:rsidR="003B31A1" w:rsidTr="00702095">
        <w:trPr>
          <w:trHeight w:val="144"/>
          <w:tblCellSpacing w:w="20" w:type="nil"/>
        </w:trPr>
        <w:tc>
          <w:tcPr>
            <w:tcW w:w="4227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3592" w:type="dxa"/>
            <w:vMerge/>
          </w:tcPr>
          <w:p w:rsidR="003B31A1" w:rsidRDefault="003B31A1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4466"/>
        <w:gridCol w:w="1052"/>
        <w:gridCol w:w="1275"/>
        <w:gridCol w:w="993"/>
        <w:gridCol w:w="2126"/>
        <w:gridCol w:w="2835"/>
      </w:tblGrid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3320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3B31A1" w:rsidRPr="00702095" w:rsidRDefault="003B31A1" w:rsidP="003B31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3B31A1" w:rsidRPr="003B31A1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1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Pr="003B31A1" w:rsidRDefault="003B31A1"/>
        </w:tc>
        <w:tc>
          <w:tcPr>
            <w:tcW w:w="44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Pr="003B31A1" w:rsidRDefault="003B31A1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31A1" w:rsidRDefault="003B31A1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31A1" w:rsidRDefault="003B31A1"/>
        </w:tc>
        <w:tc>
          <w:tcPr>
            <w:tcW w:w="2835" w:type="dxa"/>
            <w:vMerge/>
          </w:tcPr>
          <w:p w:rsidR="003B31A1" w:rsidRDefault="003B31A1"/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  <w:tc>
          <w:tcPr>
            <w:tcW w:w="2835" w:type="dxa"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 w:val="restart"/>
          </w:tcPr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социальном, культурном, языковом, духовном многообразии народов мира в эпоху Средневековья;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-относиться с уважением к культуре и религии других народов;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важность для жизни современного общества идей и институтов, возникших в эпоху Средневековья;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знания об историческом пути и традициях народов мира в общении с людьми другой культуры, национальной и религиозной принадлежности; 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-высказывать и мотивировать свои оценочные суждения о наиболее значительных событиях истории Средних веков, исторических личностях, достижениях мировой культуры; </w:t>
            </w:r>
          </w:p>
          <w:p w:rsidR="003B31A1" w:rsidRPr="003B31A1" w:rsidRDefault="003B31A1" w:rsidP="003B3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эстетическое сознание через освоение художественного наследия средневековых общностей;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hAnsi="Times New Roman" w:cs="Times New Roman"/>
                <w:sz w:val="24"/>
                <w:szCs w:val="24"/>
              </w:rPr>
              <w:t xml:space="preserve"> -понимать неоднозначность достижений общественного прогресса</w:t>
            </w:r>
            <w:r w:rsidRPr="003B31A1">
              <w:rPr>
                <w:sz w:val="24"/>
                <w:szCs w:val="24"/>
              </w:rPr>
              <w:t xml:space="preserve">   </w:t>
            </w: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1157" w:type="dxa"/>
            <w:gridSpan w:val="6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  <w:tc>
          <w:tcPr>
            <w:tcW w:w="2835" w:type="dxa"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 w:val="restart"/>
          </w:tcPr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Идентификация себя в качестве гражданина России, уважение к Отечеству, к прошлому многонационального народа России, чувство патриотизма;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этнической</w:t>
            </w:r>
            <w:r>
              <w:t xml:space="preserve"> 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принадлежности, знание исторических событий, явлений, процессов с древности до начала XV в., культурного наследия своего народа, своего края, Отечества в целом;  </w:t>
            </w:r>
          </w:p>
          <w:p w:rsidR="003B31A1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научных основ труда профессиональных учёных-историков, особенностей их специальных умений и навыков, особенностей вспомогате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исторических дисциплин;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познавательный интерес к прошлому своего Отечества; чувство гордости за свою страну, её достижения;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исторического мировоззрения, соответствующего современному уровню развития науки истории;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3B31A1" w:rsidRPr="00D05BC6" w:rsidRDefault="003B31A1" w:rsidP="003B31A1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05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понимать художественные произведения, отражающие разные этнокультурные традиции; уважение к истории культуры своего Отечества;  </w:t>
            </w:r>
          </w:p>
          <w:p w:rsidR="003B31A1" w:rsidRPr="003B31A1" w:rsidRDefault="003B31A1" w:rsidP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3B3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-подготовка к определению своей будущей профессии.  </w:t>
            </w: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RPr="001424AF" w:rsidTr="003B31A1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835" w:type="dxa"/>
            <w:vMerge/>
          </w:tcPr>
          <w:p w:rsidR="003B31A1" w:rsidRPr="00702095" w:rsidRDefault="003B31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B31A1" w:rsidTr="003B31A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  <w:tr w:rsidR="003B31A1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B31A1" w:rsidRPr="00702095" w:rsidRDefault="003B31A1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31A1" w:rsidRDefault="003B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B31A1" w:rsidRDefault="003B31A1"/>
        </w:tc>
        <w:tc>
          <w:tcPr>
            <w:tcW w:w="2835" w:type="dxa"/>
          </w:tcPr>
          <w:p w:rsidR="003B31A1" w:rsidRDefault="003B31A1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1052"/>
        <w:gridCol w:w="1134"/>
        <w:gridCol w:w="283"/>
        <w:gridCol w:w="709"/>
        <w:gridCol w:w="425"/>
        <w:gridCol w:w="1985"/>
        <w:gridCol w:w="2693"/>
      </w:tblGrid>
      <w:tr w:rsidR="00901732" w:rsidRPr="001424AF" w:rsidTr="0090173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4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693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  <w:tc>
          <w:tcPr>
            <w:tcW w:w="2693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 w:val="restart"/>
          </w:tcPr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ценность культурного наследия эпохи Возрождения, а так  же культурного наследия эпохи XVII в. как для себя лично, так и в плане значимости его для современного общества;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выражать свое отношение к деятельности людей в прошлом с позиции духовных ценностей общества в изучаемую эпоху;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опасность конфликтов на религиозной почве и значимость веротерпимости в жизни общества;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-развивать эстетическое сознание через освоение художественного наследия Нового времени (XVI—XVII вв.)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</w:tcPr>
          <w:p w:rsidR="00901732" w:rsidRDefault="00901732"/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99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2693" w:type="dxa"/>
            <w:vMerge w:val="restart"/>
          </w:tcPr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-принятие гражданской идентичности, уважение к Отечеству, к прошлому многонационального народа России, чувство патриотизма;  -осознание этнической принадлежности, знание исторических событий, явлений, процессов XVI—XVII вв., культурного наследия своего народа, своего края, Отечества в целом;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-познавательный интерес к прошлому своего Отечества; чувство гордости за свою страну, её достижения;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-понимание научных основ труда профессиональных учёных-историков, особенностей их специальных умений и навыков, особенностей вспомогательных исторических дисциплин;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 уважение к ценностям семьи, осознание её роли в истории страны;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исторического мировоззрения, соответствующего современному уровню развития науки истории;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-формулирование ценностных суждений и формулирование своей точки зрения, приведение аргументов, готовность и способность вести диалог с другими людьми и достигать в нём взаимопонимания;  </w:t>
            </w:r>
          </w:p>
          <w:p w:rsidR="00901732" w:rsidRPr="00901732" w:rsidRDefault="00901732" w:rsidP="00901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-способность понимать художественные произведения, отражающие разные этнокультурные традиции; уважение к истории культуры своего Отечества;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</w:t>
            </w:r>
            <w:r w:rsidRPr="00901732">
              <w:rPr>
                <w:sz w:val="24"/>
                <w:szCs w:val="24"/>
              </w:rPr>
              <w:t xml:space="preserve">   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2693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693" w:type="dxa"/>
          </w:tcPr>
          <w:p w:rsidR="00901732" w:rsidRDefault="00901732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9"/>
        <w:gridCol w:w="4532"/>
        <w:gridCol w:w="1052"/>
        <w:gridCol w:w="992"/>
        <w:gridCol w:w="283"/>
        <w:gridCol w:w="567"/>
        <w:gridCol w:w="567"/>
        <w:gridCol w:w="2268"/>
        <w:gridCol w:w="2552"/>
      </w:tblGrid>
      <w:tr w:rsidR="00901732" w:rsidRPr="00901732" w:rsidTr="0090173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461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552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  <w:tc>
          <w:tcPr>
            <w:tcW w:w="2552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 w:val="restart"/>
          </w:tcPr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гражданского общества;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вырабатывать собственное отношение к традициям западной и восточной культуры;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-понимать важность реализации прав личности на «жизнь, свободу и собственность»; </w:t>
            </w:r>
          </w:p>
          <w:p w:rsidR="00901732" w:rsidRPr="00901732" w:rsidRDefault="00901732" w:rsidP="009017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-давать оценку такому методу решения политических и национальных проблем, как террор; 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опасность международных конфликтов, приводящих к локальным и мировым войнам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</w:tcPr>
          <w:p w:rsidR="00901732" w:rsidRDefault="00901732"/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440" w:type="dxa"/>
            <w:gridSpan w:val="8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552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 w:val="restart"/>
          </w:tcPr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гражданской идентичности, уважение к Отечеству, к прошлому многонационального народа России;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этнической принадлежности, знание исторических событий, явлений, процессов с древности до начала XI X в., культурного наследия своего народа, своего края, Отечества в целом;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научных основ труда профессиональных учёныхисториков, особенностей их специальных умений и навыков, особенностей вспомогательных исторических дисциплин;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познавательный интерес к прошлому своего Отечества; чувство гордости за свою страну, её достижения;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знание основных норм морали, нравственных, духовных идеалов, хранимых в культурных традициях народов России, формирование нравственных чувств и нравственного поведения;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исторического мировоззрения, соответствующего современному уровню развития науки истории;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формулирование своей точки зрения, приведение аргументов, готовность и способность вести диалог с другими людьми и достигать в нем взаимопонимания; </w:t>
            </w:r>
          </w:p>
          <w:p w:rsidR="00901732" w:rsidRDefault="00901732" w:rsidP="00901732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28D1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понимать художественные произведения, отражающие разные этнокультурные традиции; уважение к истории культуры своего Отечества, края, народа; </w:t>
            </w:r>
          </w:p>
          <w:p w:rsidR="00901732" w:rsidRPr="00901732" w:rsidRDefault="00901732" w:rsidP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01732">
              <w:rPr>
                <w:rFonts w:ascii="Times New Roman" w:hAnsi="Times New Roman" w:cs="Times New Roman"/>
                <w:sz w:val="24"/>
                <w:szCs w:val="24"/>
              </w:rPr>
              <w:t xml:space="preserve"> -подготовка к определению своей будущей профессии.  </w:t>
            </w: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RPr="00702095" w:rsidTr="0090173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2552" w:type="dxa"/>
            <w:vMerge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677" w:type="dxa"/>
            <w:gridSpan w:val="5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  <w:vMerge/>
          </w:tcPr>
          <w:p w:rsidR="00901732" w:rsidRDefault="00901732"/>
        </w:tc>
      </w:tr>
      <w:tr w:rsidR="00901732" w:rsidTr="00901732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Pr="00702095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/>
        </w:tc>
        <w:tc>
          <w:tcPr>
            <w:tcW w:w="2552" w:type="dxa"/>
          </w:tcPr>
          <w:p w:rsidR="00901732" w:rsidRDefault="00901732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591"/>
        <w:gridCol w:w="910"/>
        <w:gridCol w:w="36"/>
        <w:gridCol w:w="1098"/>
        <w:gridCol w:w="1134"/>
        <w:gridCol w:w="2268"/>
        <w:gridCol w:w="2835"/>
      </w:tblGrid>
      <w:tr w:rsidR="00901732" w:rsidRPr="00901732" w:rsidTr="001B3AD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3178" w:type="dxa"/>
            <w:gridSpan w:val="4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урока</w:t>
            </w:r>
          </w:p>
          <w:p w:rsidR="00901732" w:rsidRPr="00702095" w:rsidRDefault="00901732" w:rsidP="009017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2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  <w:p w:rsidR="00901732" w:rsidRPr="00901732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01732" w:rsidTr="001B3AD0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4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Pr="00901732" w:rsidRDefault="00901732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32" w:rsidRDefault="00901732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732" w:rsidRDefault="00901732"/>
        </w:tc>
        <w:tc>
          <w:tcPr>
            <w:tcW w:w="2835" w:type="dxa"/>
            <w:vMerge/>
          </w:tcPr>
          <w:p w:rsidR="00901732" w:rsidRDefault="00901732"/>
        </w:tc>
      </w:tr>
      <w:tr w:rsidR="00901732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901732" w:rsidRDefault="00901732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  <w:tc>
          <w:tcPr>
            <w:tcW w:w="2835" w:type="dxa"/>
          </w:tcPr>
          <w:p w:rsidR="00901732" w:rsidRPr="00702095" w:rsidRDefault="0090173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 w:val="restart"/>
          </w:tcPr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преимущества эволюционного пути развития над революционным;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важность для современного общества исторического опыта по формированию правовых государств и формированию гражданского общества; 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-онимать опасность международных конфликтов, которые приводят к войнам; </w:t>
            </w:r>
          </w:p>
          <w:p w:rsidR="001B3AD0" w:rsidRPr="001B3AD0" w:rsidRDefault="001B3AD0" w:rsidP="00DA77E8">
            <w:pPr>
              <w:spacing w:beforeAutospacing="1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применять знания по всемирной истории XIX в. для осмысления сущности современных общественных явлений</w:t>
            </w: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поитические процессы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странв 1815—1840-х гг.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500" w:type="dxa"/>
            <w:gridSpan w:val="3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2835" w:type="dxa"/>
          </w:tcPr>
          <w:p w:rsidR="001B3AD0" w:rsidRDefault="001B3AD0"/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  <w:tc>
          <w:tcPr>
            <w:tcW w:w="2835" w:type="dxa"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гуманистических и демократических ценностей, знание национальных и культурных традиций народов (этническихгрупп) России;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другим народам России и мира и принятие их особенностей, готовность к равноправному сотрудничеству;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 положительное принятие своей этнической идентичности;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памятникам, стремление к их сохранению;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патриотизм, любовь к Родине, чувство гордости за свою страну, её достижения во всех сферах общественной жизни в изучаемый период;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консолидации общества;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познавательный интерес к прошлому своей Родины, родного края;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давать моральную оценку действиям исторических персонажей, нетерпимость к любым видам насилия и готовность противостоять им; 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осознание её роли в истории страны;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понимание и сопереживание (эмпатия) чувствам других, формирование чувства сопричастности к прошлому России и своего края;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вести диалог в разных формах, в том числе в дискуссии, дебатах, на основе взаимного уважения; </w:t>
            </w:r>
          </w:p>
          <w:p w:rsidR="001B3AD0" w:rsidRDefault="001B3AD0" w:rsidP="001B3AD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8A3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уроков опыта проводимой в России социальной и экономической политики; </w:t>
            </w:r>
          </w:p>
          <w:p w:rsidR="001B3AD0" w:rsidRPr="001B3AD0" w:rsidRDefault="001B3AD0" w:rsidP="001B3AD0">
            <w:pPr>
              <w:spacing w:after="0"/>
              <w:ind w:left="135"/>
            </w:pPr>
            <w:r w:rsidRPr="001B3AD0">
              <w:rPr>
                <w:rFonts w:ascii="Times New Roman" w:hAnsi="Times New Roman" w:cs="Times New Roman"/>
                <w:sz w:val="24"/>
                <w:szCs w:val="24"/>
              </w:rPr>
              <w:t xml:space="preserve"> - готовность к определению своих профессиональных предпочтений.</w:t>
            </w: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RPr="00702095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Pr="00702095" w:rsidRDefault="001B3AD0" w:rsidP="00DA77E8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2835" w:type="dxa"/>
            <w:vMerge/>
          </w:tcPr>
          <w:p w:rsidR="001B3AD0" w:rsidRDefault="001B3AD0"/>
        </w:tc>
      </w:tr>
      <w:tr w:rsidR="001B3AD0" w:rsidTr="001B3AD0">
        <w:trPr>
          <w:trHeight w:val="144"/>
          <w:tblCellSpacing w:w="20" w:type="nil"/>
        </w:trPr>
        <w:tc>
          <w:tcPr>
            <w:tcW w:w="11157" w:type="dxa"/>
            <w:gridSpan w:val="7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Модуль. </w:t>
            </w:r>
            <w:r w:rsidRPr="00702095"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  <w:tc>
          <w:tcPr>
            <w:tcW w:w="2835" w:type="dxa"/>
            <w:vMerge/>
          </w:tcPr>
          <w:p w:rsidR="001B3AD0" w:rsidRPr="00702095" w:rsidRDefault="001B3A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Февральская и Октябрьская революции 1917 г.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(1941—1945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1B3AD0" w:rsidRDefault="001B3AD0" w:rsidP="00DA77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  <w:tc>
          <w:tcPr>
            <w:tcW w:w="2835" w:type="dxa"/>
            <w:vMerge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</w:p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  <w:tc>
          <w:tcPr>
            <w:tcW w:w="6237" w:type="dxa"/>
            <w:gridSpan w:val="3"/>
          </w:tcPr>
          <w:p w:rsidR="001B3AD0" w:rsidRDefault="001B3AD0"/>
        </w:tc>
      </w:tr>
      <w:tr w:rsidR="001B3AD0" w:rsidTr="001B3AD0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Pr="00702095" w:rsidRDefault="001B3AD0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B3AD0" w:rsidRDefault="001B3A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</w:tcPr>
          <w:p w:rsidR="001B3AD0" w:rsidRDefault="001B3AD0"/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B3AD0" w:rsidRDefault="001B3AD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8" w:name="block-587669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B6E9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B6E9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DB6E9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6E90" w:rsidRDefault="00DB6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6E90" w:rsidRDefault="00DB6E90"/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Основные события Первой российской рефолюции.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B6E90" w:rsidRPr="0070209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2095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B6E90" w:rsidRDefault="00DB6E90">
            <w:pPr>
              <w:spacing w:after="0"/>
              <w:ind w:left="135"/>
            </w:pPr>
          </w:p>
        </w:tc>
      </w:tr>
      <w:tr w:rsidR="00DB6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Pr="00702095" w:rsidRDefault="00702095">
            <w:pPr>
              <w:spacing w:after="0"/>
              <w:ind w:left="135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 w:rsidRPr="007020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B6E90" w:rsidRDefault="00702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6E90" w:rsidRDefault="00DB6E90"/>
        </w:tc>
      </w:tr>
    </w:tbl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DB6E90">
      <w:pPr>
        <w:sectPr w:rsidR="00DB6E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6E90" w:rsidRDefault="00702095">
      <w:pPr>
        <w:spacing w:after="0"/>
        <w:ind w:left="120"/>
      </w:pPr>
      <w:bookmarkStart w:id="9" w:name="block-587670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 xml:space="preserve">​‌•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02095">
        <w:rPr>
          <w:rFonts w:ascii="Times New Roman" w:hAnsi="Times New Roman"/>
          <w:color w:val="000000"/>
          <w:sz w:val="28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702095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702095">
        <w:rPr>
          <w:rFonts w:ascii="Times New Roman" w:hAnsi="Times New Roman"/>
          <w:color w:val="000000"/>
          <w:sz w:val="28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702095">
        <w:rPr>
          <w:sz w:val="28"/>
        </w:rPr>
        <w:br/>
      </w:r>
      <w:bookmarkStart w:id="10" w:name="c6612d7c-6144-4cab-b55c-f60ef824c9f9"/>
      <w:r w:rsidRPr="00702095"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702095">
        <w:rPr>
          <w:rFonts w:ascii="Times New Roman" w:hAnsi="Times New Roman"/>
          <w:color w:val="000000"/>
          <w:sz w:val="28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702095">
        <w:rPr>
          <w:rFonts w:ascii="Times New Roman" w:hAnsi="Times New Roman"/>
          <w:color w:val="000000"/>
          <w:sz w:val="28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bookmarkEnd w:id="10"/>
      <w:r w:rsidRPr="00702095">
        <w:rPr>
          <w:rFonts w:ascii="Times New Roman" w:hAnsi="Times New Roman"/>
          <w:color w:val="000000"/>
          <w:sz w:val="28"/>
        </w:rPr>
        <w:t>‌​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​‌‌</w:t>
      </w:r>
    </w:p>
    <w:p w:rsidR="00DB6E90" w:rsidRPr="00702095" w:rsidRDefault="00702095">
      <w:pPr>
        <w:spacing w:after="0"/>
        <w:ind w:left="120"/>
      </w:pPr>
      <w:r w:rsidRPr="00702095">
        <w:rPr>
          <w:rFonts w:ascii="Times New Roman" w:hAnsi="Times New Roman"/>
          <w:color w:val="000000"/>
          <w:sz w:val="28"/>
        </w:rPr>
        <w:t>​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color w:val="000000"/>
          <w:sz w:val="28"/>
        </w:rPr>
        <w:t>​‌</w:t>
      </w:r>
      <w:bookmarkStart w:id="11" w:name="1cc6b14d-c379-4145-83ce-d61c41a33d45"/>
      <w:r w:rsidRPr="00702095">
        <w:rPr>
          <w:rFonts w:ascii="Times New Roman" w:hAnsi="Times New Roman"/>
          <w:color w:val="000000"/>
          <w:sz w:val="28"/>
        </w:rPr>
        <w:t>Методические пособия издательства "Просвещение"</w:t>
      </w:r>
      <w:bookmarkEnd w:id="11"/>
      <w:r w:rsidRPr="00702095">
        <w:rPr>
          <w:rFonts w:ascii="Times New Roman" w:hAnsi="Times New Roman"/>
          <w:color w:val="000000"/>
          <w:sz w:val="28"/>
        </w:rPr>
        <w:t>‌​</w:t>
      </w:r>
    </w:p>
    <w:p w:rsidR="00DB6E90" w:rsidRPr="00702095" w:rsidRDefault="00DB6E90">
      <w:pPr>
        <w:spacing w:after="0"/>
        <w:ind w:left="120"/>
      </w:pPr>
    </w:p>
    <w:p w:rsidR="00DB6E90" w:rsidRPr="00702095" w:rsidRDefault="00702095">
      <w:pPr>
        <w:spacing w:after="0" w:line="480" w:lineRule="auto"/>
        <w:ind w:left="120"/>
      </w:pPr>
      <w:r w:rsidRPr="0070209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6E90" w:rsidRDefault="0070209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2" w:name="954910a6-450c-47a0-80e2-529fad0f6e94"/>
      <w:r>
        <w:rPr>
          <w:rFonts w:ascii="Times New Roman" w:hAnsi="Times New Roman"/>
          <w:color w:val="000000"/>
          <w:sz w:val="28"/>
        </w:rPr>
        <w:t>РЭШ</w:t>
      </w:r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B6E90" w:rsidRDefault="00DB6E90">
      <w:pPr>
        <w:sectPr w:rsidR="00DB6E9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02095" w:rsidRDefault="00702095"/>
    <w:sectPr w:rsidR="007020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1E2F"/>
    <w:multiLevelType w:val="multilevel"/>
    <w:tmpl w:val="6C58E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868F1"/>
    <w:multiLevelType w:val="multilevel"/>
    <w:tmpl w:val="5D3C2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367884"/>
    <w:multiLevelType w:val="multilevel"/>
    <w:tmpl w:val="84C88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C5E5B"/>
    <w:multiLevelType w:val="multilevel"/>
    <w:tmpl w:val="022A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D420A"/>
    <w:multiLevelType w:val="multilevel"/>
    <w:tmpl w:val="7F905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223D48"/>
    <w:multiLevelType w:val="multilevel"/>
    <w:tmpl w:val="4E50B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740B1F"/>
    <w:multiLevelType w:val="multilevel"/>
    <w:tmpl w:val="94C01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EB07EF"/>
    <w:multiLevelType w:val="multilevel"/>
    <w:tmpl w:val="0EC4B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15941"/>
    <w:multiLevelType w:val="multilevel"/>
    <w:tmpl w:val="9652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436A0F"/>
    <w:multiLevelType w:val="multilevel"/>
    <w:tmpl w:val="34C6E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77072"/>
    <w:multiLevelType w:val="multilevel"/>
    <w:tmpl w:val="3A6A7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C3A4F"/>
    <w:multiLevelType w:val="multilevel"/>
    <w:tmpl w:val="731EB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07DD9"/>
    <w:multiLevelType w:val="multilevel"/>
    <w:tmpl w:val="97D0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7A2AA4"/>
    <w:multiLevelType w:val="multilevel"/>
    <w:tmpl w:val="20721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2E7DCE"/>
    <w:multiLevelType w:val="multilevel"/>
    <w:tmpl w:val="3278B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3A47DC"/>
    <w:multiLevelType w:val="multilevel"/>
    <w:tmpl w:val="02F25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5549E6"/>
    <w:multiLevelType w:val="multilevel"/>
    <w:tmpl w:val="8684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665233"/>
    <w:multiLevelType w:val="multilevel"/>
    <w:tmpl w:val="5BFE7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617018"/>
    <w:multiLevelType w:val="multilevel"/>
    <w:tmpl w:val="0F904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46A96"/>
    <w:multiLevelType w:val="multilevel"/>
    <w:tmpl w:val="889C6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C8119C"/>
    <w:multiLevelType w:val="multilevel"/>
    <w:tmpl w:val="5C80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BF26D8"/>
    <w:multiLevelType w:val="multilevel"/>
    <w:tmpl w:val="CE74C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7F164A"/>
    <w:multiLevelType w:val="multilevel"/>
    <w:tmpl w:val="B2B45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B32295"/>
    <w:multiLevelType w:val="multilevel"/>
    <w:tmpl w:val="DBD88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521230"/>
    <w:multiLevelType w:val="multilevel"/>
    <w:tmpl w:val="E6A4E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6A30A8"/>
    <w:multiLevelType w:val="multilevel"/>
    <w:tmpl w:val="D0165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147A4F"/>
    <w:multiLevelType w:val="multilevel"/>
    <w:tmpl w:val="026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0F3EBF"/>
    <w:multiLevelType w:val="multilevel"/>
    <w:tmpl w:val="AEF0D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A666F4"/>
    <w:multiLevelType w:val="multilevel"/>
    <w:tmpl w:val="F20EA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590EEF"/>
    <w:multiLevelType w:val="multilevel"/>
    <w:tmpl w:val="1FECE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304AD6"/>
    <w:multiLevelType w:val="multilevel"/>
    <w:tmpl w:val="8468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680A68"/>
    <w:multiLevelType w:val="multilevel"/>
    <w:tmpl w:val="B10C8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582642"/>
    <w:multiLevelType w:val="multilevel"/>
    <w:tmpl w:val="E4424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5724F"/>
    <w:multiLevelType w:val="multilevel"/>
    <w:tmpl w:val="12DA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D55305"/>
    <w:multiLevelType w:val="multilevel"/>
    <w:tmpl w:val="612C6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A55BCE"/>
    <w:multiLevelType w:val="multilevel"/>
    <w:tmpl w:val="7C7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C5445D"/>
    <w:multiLevelType w:val="multilevel"/>
    <w:tmpl w:val="BFDE3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857574"/>
    <w:multiLevelType w:val="multilevel"/>
    <w:tmpl w:val="80E68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8"/>
  </w:num>
  <w:num w:numId="3">
    <w:abstractNumId w:val="1"/>
  </w:num>
  <w:num w:numId="4">
    <w:abstractNumId w:val="5"/>
  </w:num>
  <w:num w:numId="5">
    <w:abstractNumId w:val="38"/>
  </w:num>
  <w:num w:numId="6">
    <w:abstractNumId w:val="3"/>
  </w:num>
  <w:num w:numId="7">
    <w:abstractNumId w:val="32"/>
  </w:num>
  <w:num w:numId="8">
    <w:abstractNumId w:val="14"/>
  </w:num>
  <w:num w:numId="9">
    <w:abstractNumId w:val="9"/>
  </w:num>
  <w:num w:numId="10">
    <w:abstractNumId w:val="13"/>
  </w:num>
  <w:num w:numId="11">
    <w:abstractNumId w:val="26"/>
  </w:num>
  <w:num w:numId="12">
    <w:abstractNumId w:val="0"/>
  </w:num>
  <w:num w:numId="13">
    <w:abstractNumId w:val="18"/>
  </w:num>
  <w:num w:numId="14">
    <w:abstractNumId w:val="31"/>
  </w:num>
  <w:num w:numId="15">
    <w:abstractNumId w:val="27"/>
  </w:num>
  <w:num w:numId="16">
    <w:abstractNumId w:val="20"/>
  </w:num>
  <w:num w:numId="17">
    <w:abstractNumId w:val="17"/>
  </w:num>
  <w:num w:numId="18">
    <w:abstractNumId w:val="16"/>
  </w:num>
  <w:num w:numId="19">
    <w:abstractNumId w:val="7"/>
  </w:num>
  <w:num w:numId="20">
    <w:abstractNumId w:val="28"/>
  </w:num>
  <w:num w:numId="21">
    <w:abstractNumId w:val="35"/>
  </w:num>
  <w:num w:numId="22">
    <w:abstractNumId w:val="30"/>
  </w:num>
  <w:num w:numId="23">
    <w:abstractNumId w:val="2"/>
  </w:num>
  <w:num w:numId="24">
    <w:abstractNumId w:val="6"/>
  </w:num>
  <w:num w:numId="25">
    <w:abstractNumId w:val="15"/>
  </w:num>
  <w:num w:numId="26">
    <w:abstractNumId w:val="34"/>
  </w:num>
  <w:num w:numId="27">
    <w:abstractNumId w:val="23"/>
  </w:num>
  <w:num w:numId="28">
    <w:abstractNumId w:val="29"/>
  </w:num>
  <w:num w:numId="29">
    <w:abstractNumId w:val="4"/>
  </w:num>
  <w:num w:numId="30">
    <w:abstractNumId w:val="37"/>
  </w:num>
  <w:num w:numId="31">
    <w:abstractNumId w:val="19"/>
  </w:num>
  <w:num w:numId="32">
    <w:abstractNumId w:val="24"/>
  </w:num>
  <w:num w:numId="33">
    <w:abstractNumId w:val="10"/>
  </w:num>
  <w:num w:numId="34">
    <w:abstractNumId w:val="12"/>
  </w:num>
  <w:num w:numId="35">
    <w:abstractNumId w:val="21"/>
  </w:num>
  <w:num w:numId="36">
    <w:abstractNumId w:val="22"/>
  </w:num>
  <w:num w:numId="37">
    <w:abstractNumId w:val="11"/>
  </w:num>
  <w:num w:numId="38">
    <w:abstractNumId w:val="25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90"/>
    <w:rsid w:val="001424AF"/>
    <w:rsid w:val="001B3AD0"/>
    <w:rsid w:val="003B31A1"/>
    <w:rsid w:val="00702095"/>
    <w:rsid w:val="00901732"/>
    <w:rsid w:val="00AF2345"/>
    <w:rsid w:val="00DB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05078-E0BF-40E0-A49D-F8313FE7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3B31A1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locked/>
    <w:rsid w:val="003B31A1"/>
    <w:rPr>
      <w:lang w:val="ru-RU"/>
    </w:rPr>
  </w:style>
  <w:style w:type="paragraph" w:customStyle="1" w:styleId="paragraph">
    <w:name w:val="paragraph"/>
    <w:basedOn w:val="a"/>
    <w:rsid w:val="00AF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AF2345"/>
  </w:style>
  <w:style w:type="character" w:customStyle="1" w:styleId="eop">
    <w:name w:val="eop"/>
    <w:rsid w:val="00AF2345"/>
  </w:style>
  <w:style w:type="character" w:customStyle="1" w:styleId="contextualspellingandgrammarerror">
    <w:name w:val="contextualspellingandgrammarerror"/>
    <w:rsid w:val="00AF2345"/>
  </w:style>
  <w:style w:type="character" w:customStyle="1" w:styleId="spellingerror">
    <w:name w:val="spellingerror"/>
    <w:rsid w:val="00AF2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28196</Words>
  <Characters>160722</Characters>
  <Application>Microsoft Office Word</Application>
  <DocSecurity>0</DocSecurity>
  <Lines>1339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315</cp:lastModifiedBy>
  <cp:revision>2</cp:revision>
  <dcterms:created xsi:type="dcterms:W3CDTF">2023-09-11T08:48:00Z</dcterms:created>
  <dcterms:modified xsi:type="dcterms:W3CDTF">2023-09-11T08:48:00Z</dcterms:modified>
</cp:coreProperties>
</file>